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1F" w:rsidRDefault="009845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451F" w:rsidRDefault="009845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45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51F" w:rsidRDefault="0098451F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51F" w:rsidRDefault="0098451F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98451F" w:rsidRDefault="00984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51F" w:rsidRDefault="0098451F">
      <w:pPr>
        <w:pStyle w:val="ConsPlusNormal"/>
        <w:jc w:val="center"/>
      </w:pPr>
    </w:p>
    <w:p w:rsidR="0098451F" w:rsidRDefault="0098451F">
      <w:pPr>
        <w:pStyle w:val="ConsPlusTitle"/>
        <w:jc w:val="center"/>
      </w:pPr>
      <w:r>
        <w:t>РОССИЙСКАЯ ФЕДЕРАЦИЯ</w:t>
      </w:r>
    </w:p>
    <w:p w:rsidR="0098451F" w:rsidRDefault="0098451F">
      <w:pPr>
        <w:pStyle w:val="ConsPlusTitle"/>
        <w:jc w:val="center"/>
      </w:pPr>
    </w:p>
    <w:p w:rsidR="0098451F" w:rsidRDefault="0098451F">
      <w:pPr>
        <w:pStyle w:val="ConsPlusTitle"/>
        <w:jc w:val="center"/>
      </w:pPr>
      <w:r>
        <w:t>ФЕДЕРАЛЬНЫЙ ЗАКОН</w:t>
      </w:r>
    </w:p>
    <w:p w:rsidR="0098451F" w:rsidRDefault="0098451F">
      <w:pPr>
        <w:pStyle w:val="ConsPlusTitle"/>
        <w:jc w:val="center"/>
      </w:pPr>
    </w:p>
    <w:p w:rsidR="0098451F" w:rsidRDefault="0098451F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jc w:val="right"/>
      </w:pPr>
      <w:r>
        <w:t>Принят</w:t>
      </w:r>
    </w:p>
    <w:p w:rsidR="0098451F" w:rsidRDefault="0098451F">
      <w:pPr>
        <w:pStyle w:val="ConsPlusNormal"/>
        <w:jc w:val="right"/>
      </w:pPr>
      <w:r>
        <w:t>Государственной Думой</w:t>
      </w:r>
    </w:p>
    <w:p w:rsidR="0098451F" w:rsidRDefault="0098451F">
      <w:pPr>
        <w:pStyle w:val="ConsPlusNormal"/>
        <w:jc w:val="right"/>
      </w:pPr>
      <w:r>
        <w:t>23 декабря 2009 года</w:t>
      </w:r>
    </w:p>
    <w:p w:rsidR="0098451F" w:rsidRDefault="0098451F">
      <w:pPr>
        <w:pStyle w:val="ConsPlusNormal"/>
        <w:jc w:val="right"/>
      </w:pPr>
    </w:p>
    <w:p w:rsidR="0098451F" w:rsidRDefault="0098451F">
      <w:pPr>
        <w:pStyle w:val="ConsPlusNormal"/>
        <w:jc w:val="right"/>
      </w:pPr>
      <w:r>
        <w:t>Одобрен</w:t>
      </w:r>
    </w:p>
    <w:p w:rsidR="0098451F" w:rsidRDefault="0098451F">
      <w:pPr>
        <w:pStyle w:val="ConsPlusNormal"/>
        <w:jc w:val="right"/>
      </w:pPr>
      <w:r>
        <w:t>Советом Федерации</w:t>
      </w:r>
    </w:p>
    <w:p w:rsidR="0098451F" w:rsidRDefault="0098451F">
      <w:pPr>
        <w:pStyle w:val="ConsPlusNormal"/>
        <w:jc w:val="right"/>
      </w:pPr>
      <w:r>
        <w:t>25 декабря 2009 года</w:t>
      </w:r>
    </w:p>
    <w:p w:rsidR="0098451F" w:rsidRDefault="009845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45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51F" w:rsidRDefault="009845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51F" w:rsidRDefault="009845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51F" w:rsidRDefault="009845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51F" w:rsidRDefault="0098451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51F" w:rsidRDefault="0098451F">
            <w:pPr>
              <w:pStyle w:val="ConsPlusNormal"/>
            </w:pPr>
          </w:p>
        </w:tc>
      </w:tr>
    </w:tbl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1. ОБЩИЕ ПОЛОЖЕНИЯ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0" w:name="P48"/>
      <w:bookmarkEnd w:id="0"/>
      <w:r>
        <w:t xml:space="preserve">15) помещение с постоянным пребыванием людей - помещение, в котором предусмотрено </w:t>
      </w:r>
      <w:r>
        <w:lastRenderedPageBreak/>
        <w:t>пребывание людей непрерывно в течение более двух часов;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28) характеристики безопасности здания или сооружения - количественные и качественные </w:t>
      </w:r>
      <w:r>
        <w:lastRenderedPageBreak/>
        <w:t>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4) безопасных для здоровья человека условий проживания и пребывания в зданиях и сооружениях;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>
        <w:r>
          <w:rPr>
            <w:color w:val="0000FF"/>
          </w:rPr>
          <w:t>опасность</w:t>
        </w:r>
      </w:hyperlink>
      <w:r>
        <w:t>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>
        <w:r>
          <w:rPr>
            <w:color w:val="0000FF"/>
          </w:rPr>
          <w:t>пунктами 1</w:t>
        </w:r>
      </w:hyperlink>
      <w:r>
        <w:t xml:space="preserve"> и </w:t>
      </w:r>
      <w:hyperlink w:anchor="P8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>
        <w:r>
          <w:rPr>
            <w:color w:val="0000FF"/>
          </w:rPr>
          <w:t xml:space="preserve">пунктом 5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</w:t>
      </w:r>
      <w:hyperlink r:id="rId12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повышенный;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нормальный;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пониженный.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</w:t>
      </w:r>
      <w:r>
        <w:lastRenderedPageBreak/>
        <w:t xml:space="preserve">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6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 </w:t>
      </w:r>
      <w:r>
        <w:lastRenderedPageBreak/>
        <w:t xml:space="preserve">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98451F" w:rsidRDefault="0098451F">
      <w:pPr>
        <w:pStyle w:val="ConsPlusTitle"/>
        <w:jc w:val="center"/>
      </w:pPr>
      <w:r>
        <w:t>ЗДАНИЙ И СООРУЖЕНИЙ, А ТАКЖЕ СВЯЗАННЫХ СО ЗДАНИЯМИ</w:t>
      </w:r>
    </w:p>
    <w:p w:rsidR="0098451F" w:rsidRDefault="0098451F">
      <w:pPr>
        <w:pStyle w:val="ConsPlusTitle"/>
        <w:jc w:val="center"/>
      </w:pPr>
      <w:r>
        <w:t>И С СООРУЖЕНИЯМИ ПРОЦЕССОВ ПРОЕКТИРОВАНИЯ (ВКЛЮЧАЯ</w:t>
      </w:r>
    </w:p>
    <w:p w:rsidR="0098451F" w:rsidRDefault="0098451F">
      <w:pPr>
        <w:pStyle w:val="ConsPlusTitle"/>
        <w:jc w:val="center"/>
      </w:pPr>
      <w:r>
        <w:t>ИЗЫСКАНИЯ), СТРОИТЕЛЬСТВА, МОНТАЖА, НАЛАДКИ,</w:t>
      </w:r>
    </w:p>
    <w:p w:rsidR="0098451F" w:rsidRDefault="0098451F">
      <w:pPr>
        <w:pStyle w:val="ConsPlusTitle"/>
        <w:jc w:val="center"/>
      </w:pPr>
      <w:r>
        <w:t>ЭКСПЛУАТАЦИИ И УТИЛИЗАЦИИ (СНОСА)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2) ограничение образования и распространения опасных факторов пожара в пределах очага </w:t>
      </w:r>
      <w:r>
        <w:lastRenderedPageBreak/>
        <w:t>пожара;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98451F" w:rsidRDefault="0098451F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98451F" w:rsidRDefault="0098451F">
      <w:pPr>
        <w:pStyle w:val="ConsPlusTitle"/>
        <w:jc w:val="center"/>
      </w:pPr>
      <w:r>
        <w:t>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</w:t>
      </w:r>
      <w:r>
        <w:lastRenderedPageBreak/>
        <w:t>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>
        <w:r>
          <w:rPr>
            <w:color w:val="0000FF"/>
          </w:rPr>
          <w:t>частями 7</w:t>
        </w:r>
      </w:hyperlink>
      <w:r>
        <w:t xml:space="preserve"> - </w:t>
      </w:r>
      <w:hyperlink w:anchor="P10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 xml:space="preserve">7. При обосновании, предусмотренном </w:t>
      </w:r>
      <w:hyperlink w:anchor="P195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>
        <w:r>
          <w:rPr>
            <w:color w:val="0000FF"/>
          </w:rPr>
          <w:t>частями 5</w:t>
        </w:r>
      </w:hyperlink>
      <w:r>
        <w:t xml:space="preserve"> и </w:t>
      </w:r>
      <w:hyperlink w:anchor="P229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3) потерей устойчивости положения;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</w:t>
      </w:r>
      <w:r>
        <w:lastRenderedPageBreak/>
        <w:t>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В проектной документации зданий и сооружений должно быть предусмотрено </w:t>
      </w:r>
      <w:r>
        <w:lastRenderedPageBreak/>
        <w:t>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6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</w:t>
      </w:r>
      <w:r>
        <w:lastRenderedPageBreak/>
        <w:t>элементом конструкции.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</w:t>
      </w:r>
      <w:r>
        <w:lastRenderedPageBreak/>
        <w:t>с этими частями;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98451F" w:rsidRDefault="0098451F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98451F" w:rsidRDefault="0098451F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98451F" w:rsidRDefault="0098451F">
      <w:pPr>
        <w:pStyle w:val="ConsPlusTitle"/>
        <w:jc w:val="center"/>
      </w:pPr>
      <w:r>
        <w:t>И ТЕКУЩЕГО РЕМОНТА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9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lastRenderedPageBreak/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98451F" w:rsidRDefault="0098451F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98451F" w:rsidRDefault="0098451F">
      <w:pPr>
        <w:pStyle w:val="ConsPlusTitle"/>
        <w:jc w:val="center"/>
      </w:pPr>
      <w:r>
        <w:t>И В ПРОЦЕССЕ СНОСА (ДЕМОНТАЖА)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98451F" w:rsidRDefault="0098451F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98451F" w:rsidRDefault="0098451F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98451F" w:rsidRDefault="0098451F">
      <w:pPr>
        <w:pStyle w:val="ConsPlusTitle"/>
        <w:jc w:val="center"/>
      </w:pPr>
      <w:r>
        <w:t>НАЛАДКИ, ЭКСПЛУАТАЦИИ И УТИЛИЗАЦИИ (СНОСА)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</w:t>
      </w:r>
      <w:r>
        <w:lastRenderedPageBreak/>
        <w:t>эксплуатации и утилизации (сноса) осуществляется в целях: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98451F" w:rsidRDefault="0098451F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lastRenderedPageBreak/>
        <w:t>7) ввода объекта в эксплуатацию.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и </w:t>
      </w:r>
      <w:hyperlink w:anchor="P448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- </w:t>
      </w:r>
      <w:hyperlink w:anchor="P448">
        <w:r>
          <w:rPr>
            <w:color w:val="0000FF"/>
          </w:rPr>
          <w:t>4</w:t>
        </w:r>
      </w:hyperlink>
      <w:r>
        <w:t xml:space="preserve"> и </w:t>
      </w:r>
      <w:hyperlink w:anchor="P45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>
        <w:r>
          <w:rPr>
            <w:color w:val="0000FF"/>
          </w:rPr>
          <w:t>пунктах 5</w:t>
        </w:r>
      </w:hyperlink>
      <w:r>
        <w:t xml:space="preserve"> и </w:t>
      </w:r>
      <w:hyperlink w:anchor="P450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lastRenderedPageBreak/>
        <w:t>2) государственного контроля (надзора).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jc w:val="center"/>
        <w:outlineLvl w:val="0"/>
      </w:pPr>
      <w:r>
        <w:t>Глава 7. ЗАКЛЮЧИТЕЛЬНЫЕ ПОЛОЖЕНИЯ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</w:t>
      </w:r>
      <w:r>
        <w:lastRenderedPageBreak/>
        <w:t>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hyperlink r:id="rId33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98451F" w:rsidRDefault="0098451F">
      <w:pPr>
        <w:pStyle w:val="ConsPlusNormal"/>
        <w:spacing w:before="220"/>
        <w:ind w:firstLine="540"/>
        <w:jc w:val="both"/>
      </w:pPr>
      <w:r>
        <w:t xml:space="preserve">2. </w:t>
      </w:r>
      <w:hyperlink w:anchor="P486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98451F" w:rsidRDefault="0098451F">
      <w:pPr>
        <w:pStyle w:val="ConsPlusNormal"/>
        <w:ind w:firstLine="540"/>
        <w:jc w:val="both"/>
      </w:pPr>
    </w:p>
    <w:p w:rsidR="0098451F" w:rsidRDefault="0098451F">
      <w:pPr>
        <w:pStyle w:val="ConsPlusNormal"/>
        <w:jc w:val="right"/>
      </w:pPr>
      <w:r>
        <w:t>Президент</w:t>
      </w:r>
    </w:p>
    <w:p w:rsidR="0098451F" w:rsidRDefault="0098451F">
      <w:pPr>
        <w:pStyle w:val="ConsPlusNormal"/>
        <w:jc w:val="right"/>
      </w:pPr>
      <w:r>
        <w:t>Российской Федерации</w:t>
      </w:r>
    </w:p>
    <w:p w:rsidR="0098451F" w:rsidRDefault="0098451F">
      <w:pPr>
        <w:pStyle w:val="ConsPlusNormal"/>
        <w:jc w:val="right"/>
      </w:pPr>
      <w:r>
        <w:t>Д.МЕДВЕДЕВ</w:t>
      </w:r>
    </w:p>
    <w:p w:rsidR="0098451F" w:rsidRDefault="0098451F">
      <w:pPr>
        <w:pStyle w:val="ConsPlusNormal"/>
      </w:pPr>
      <w:r>
        <w:t>Москва, Кремль</w:t>
      </w:r>
    </w:p>
    <w:p w:rsidR="0098451F" w:rsidRDefault="0098451F">
      <w:pPr>
        <w:pStyle w:val="ConsPlusNormal"/>
        <w:spacing w:before="220"/>
      </w:pPr>
      <w:r>
        <w:t>30 декабря 2009 года</w:t>
      </w:r>
    </w:p>
    <w:p w:rsidR="0098451F" w:rsidRDefault="0098451F">
      <w:pPr>
        <w:pStyle w:val="ConsPlusNormal"/>
        <w:spacing w:before="220"/>
      </w:pPr>
      <w:r>
        <w:t>N 384-ФЗ</w:t>
      </w:r>
    </w:p>
    <w:p w:rsidR="0098451F" w:rsidRDefault="0098451F">
      <w:pPr>
        <w:pStyle w:val="ConsPlusNormal"/>
      </w:pPr>
    </w:p>
    <w:p w:rsidR="0098451F" w:rsidRDefault="0098451F">
      <w:pPr>
        <w:pStyle w:val="ConsPlusNormal"/>
      </w:pPr>
    </w:p>
    <w:p w:rsidR="0098451F" w:rsidRDefault="009845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A91" w:rsidRDefault="0098451F">
      <w:bookmarkStart w:id="29" w:name="_GoBack"/>
      <w:bookmarkEnd w:id="29"/>
    </w:p>
    <w:sectPr w:rsidR="00BD6A91" w:rsidSect="00F1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1F"/>
    <w:rsid w:val="00051120"/>
    <w:rsid w:val="004E7C45"/>
    <w:rsid w:val="00501FD7"/>
    <w:rsid w:val="0098451F"/>
    <w:rsid w:val="00F7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50F6-F29B-46A1-87F5-8966357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45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45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95F60C625D1CF7459A9180F78616757ACA160BB2304E01E901D573D9FEA22976B9528F7553D388C4D45F7FF9C710186279EC28E2722EFw4FFJ" TargetMode="External"/><Relationship Id="rId13" Type="http://schemas.openxmlformats.org/officeDocument/2006/relationships/hyperlink" Target="consultantplus://offline/ref=F2B95F60C625D1CF7459A9180F78616757ADA764BA2304E01E901D573D9FEA22976B9528F45C366DDC0244ABB9C9620287279DC392w2F6J" TargetMode="External"/><Relationship Id="rId18" Type="http://schemas.openxmlformats.org/officeDocument/2006/relationships/hyperlink" Target="consultantplus://offline/ref=F2B95F60C625D1CF7459A9180F78616757ADA667BD2304E01E901D573D9FEA22976B9528F7553D388F4D45F7FF9C710186279EC28E2722EFw4FFJ" TargetMode="External"/><Relationship Id="rId26" Type="http://schemas.openxmlformats.org/officeDocument/2006/relationships/hyperlink" Target="consultantplus://offline/ref=F2B95F60C625D1CF7459A9180F78616757AEA563B42D04E01E901D573D9FEA22976B9528F75038398A4D45F7FF9C710186279EC28E2722EFw4F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B95F60C625D1CF7459A9180F78616757AEA563B42D04E01E901D573D9FEA22976B9528F75038398A4D45F7FF9C710186279EC28E2722EFw4FF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2B95F60C625D1CF7459A9180F78616757ADA764BA2304E01E901D573D9FEA22976B9528F7553D39854D45F7FF9C710186279EC28E2722EFw4FFJ" TargetMode="External"/><Relationship Id="rId12" Type="http://schemas.openxmlformats.org/officeDocument/2006/relationships/hyperlink" Target="consultantplus://offline/ref=F2B95F60C625D1CF7459A9180F78616757ACA160BB2304E01E901D573D9FEA22856BCD24F55523388C5813A6B9wCFAJ" TargetMode="External"/><Relationship Id="rId17" Type="http://schemas.openxmlformats.org/officeDocument/2006/relationships/hyperlink" Target="consultantplus://offline/ref=F2B95F60C625D1CF7459A9180F78616750A7AF62BD2D04E01E901D573D9FEA22976B9528F7553D3C8B4D45F7FF9C710186279EC28E2722EFw4FFJ" TargetMode="External"/><Relationship Id="rId25" Type="http://schemas.openxmlformats.org/officeDocument/2006/relationships/hyperlink" Target="consultantplus://offline/ref=F2B95F60C625D1CF7459A9180F78616750A8A26BBE2D04E01E901D573D9FEA22976B9528F2503D3B884D45F7FF9C710186279EC28E2722EFw4FFJ" TargetMode="External"/><Relationship Id="rId33" Type="http://schemas.openxmlformats.org/officeDocument/2006/relationships/hyperlink" Target="consultantplus://offline/ref=F2B95F60C625D1CF7459A9180F7861675AABA761BF2F59EA16C911553A90B53590229929F7553D31861240E2EEC47E0398389EDD922520wEF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B95F60C625D1CF7459A9180F78616750A6AE66BE2404E01E901D573D9FEA22976B9528FF5E6968C9131CA4BBD77D02983B9FC1w9F3J" TargetMode="External"/><Relationship Id="rId20" Type="http://schemas.openxmlformats.org/officeDocument/2006/relationships/hyperlink" Target="consultantplus://offline/ref=F2B95F60C625D1CF7459A9180F78616750A8A26BBE2D04E01E901D573D9FEA22976B9528F2503D39844D45F7FF9C710186279EC28E2722EFw4FFJ" TargetMode="External"/><Relationship Id="rId29" Type="http://schemas.openxmlformats.org/officeDocument/2006/relationships/hyperlink" Target="consultantplus://offline/ref=F2B95F60C625D1CF7459A9180F78616750A7AF62BD2D04E01E901D573D9FEA22976B9528F7553D3C8B4D45F7FF9C710186279EC28E2722EFw4F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B95F60C625D1CF7459A9180F78616750A7AF62BD2D04E01E901D573D9FEA22976B9528F7553D38854D45F7FF9C710186279EC28E2722EFw4FFJ" TargetMode="External"/><Relationship Id="rId11" Type="http://schemas.openxmlformats.org/officeDocument/2006/relationships/hyperlink" Target="consultantplus://offline/ref=F2B95F60C625D1CF7459A9180F78616752AFAE6ABE2604E01E901D573D9FEA22976B9528F7553D39894D45F7FF9C710186279EC28E2722EFw4FFJ" TargetMode="External"/><Relationship Id="rId24" Type="http://schemas.openxmlformats.org/officeDocument/2006/relationships/hyperlink" Target="consultantplus://offline/ref=F2B95F60C625D1CF7459A9180F78616750A8A26BBE2D04E01E901D573D9FEA22976B9528F25334398F4D45F7FF9C710186279EC28E2722EFw4FFJ" TargetMode="External"/><Relationship Id="rId32" Type="http://schemas.openxmlformats.org/officeDocument/2006/relationships/hyperlink" Target="consultantplus://offline/ref=F2B95F60C625D1CF7459A9180F78616757ADA667BD2304E01E901D573D9FEA22976B9528F7553D388F4D45F7FF9C710186279EC28E2722EFw4FFJ" TargetMode="External"/><Relationship Id="rId5" Type="http://schemas.openxmlformats.org/officeDocument/2006/relationships/hyperlink" Target="consultantplus://offline/ref=F2B95F60C625D1CF7459A9180F78616757ADA663BC2704E01E901D573D9FEA22976B9528F754353A854D45F7FF9C710186279EC28E2722EFw4FFJ" TargetMode="External"/><Relationship Id="rId15" Type="http://schemas.openxmlformats.org/officeDocument/2006/relationships/hyperlink" Target="consultantplus://offline/ref=F2B95F60C625D1CF7459A9180F78616757AEA066B52D04E01E901D573D9FEA22976B9528F7553D388E4D45F7FF9C710186279EC28E2722EFw4FFJ" TargetMode="External"/><Relationship Id="rId23" Type="http://schemas.openxmlformats.org/officeDocument/2006/relationships/hyperlink" Target="consultantplus://offline/ref=F2B95F60C625D1CF7459A9180F78616757AEA463BF2304E01E901D573D9FEA22976B9528F7553D388E4D45F7FF9C710186279EC28E2722EFw4FFJ" TargetMode="External"/><Relationship Id="rId28" Type="http://schemas.openxmlformats.org/officeDocument/2006/relationships/hyperlink" Target="consultantplus://offline/ref=F2B95F60C625D1CF7459A9180F78616757ADA663BD2404E01E901D573D9FEA22976B9528F7553C3D8C4D45F7FF9C710186279EC28E2722EFw4FFJ" TargetMode="External"/><Relationship Id="rId10" Type="http://schemas.openxmlformats.org/officeDocument/2006/relationships/hyperlink" Target="consultantplus://offline/ref=F2B95F60C625D1CF7459A9180F78616750A7A060BC2404E01E901D573D9FEA22976B9528F7553C3C8B4D45F7FF9C710186279EC28E2722EFw4FFJ" TargetMode="External"/><Relationship Id="rId19" Type="http://schemas.openxmlformats.org/officeDocument/2006/relationships/hyperlink" Target="consultantplus://offline/ref=F2B95F60C625D1CF7459A9180F78616757AFA66ABA2104E01E901D573D9FEA22976B9528F7553D388C4D45F7FF9C710186279EC28E2722EFw4FFJ" TargetMode="External"/><Relationship Id="rId31" Type="http://schemas.openxmlformats.org/officeDocument/2006/relationships/hyperlink" Target="consultantplus://offline/ref=F2B95F60C625D1CF7459A9180F78616757ADA663BD2404E01E901D573D9FEA22976B9528F7553C3D8C4D45F7FF9C710186279EC28E2722EFw4F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B95F60C625D1CF7459A9180F7861675AACAE6BBD2F59EA16C911553A90B53590229929F7553D3A861240E2EEC47E0398389EDD922520wEFEJ" TargetMode="External"/><Relationship Id="rId14" Type="http://schemas.openxmlformats.org/officeDocument/2006/relationships/hyperlink" Target="consultantplus://offline/ref=F2B95F60C625D1CF7459A9180F78616751ADA462B42504E01E901D573D9FEA22976B9528F7553D398E4D45F7FF9C710186279EC28E2722EFw4FFJ" TargetMode="External"/><Relationship Id="rId22" Type="http://schemas.openxmlformats.org/officeDocument/2006/relationships/hyperlink" Target="consultantplus://offline/ref=F2B95F60C625D1CF7459A9180F78616757AEA266BC2404E01E901D573D9FEA22976B9528F7553D3C8D4D45F7FF9C710186279EC28E2722EFw4FFJ" TargetMode="External"/><Relationship Id="rId27" Type="http://schemas.openxmlformats.org/officeDocument/2006/relationships/hyperlink" Target="consultantplus://offline/ref=F2B95F60C625D1CF7459A9180F78616757ADA663BC2704E01E901D573D9FEA22976B9528F754353A854D45F7FF9C710186279EC28E2722EFw4FFJ" TargetMode="External"/><Relationship Id="rId30" Type="http://schemas.openxmlformats.org/officeDocument/2006/relationships/hyperlink" Target="consultantplus://offline/ref=F2B95F60C625D1CF7459A9180F78616757ADA764BA2304E01E901D573D9FEA22976B9528F755353F8F4D45F7FF9C710186279EC28E2722EFw4FF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12766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Фидельская</dc:creator>
  <cp:keywords/>
  <dc:description/>
  <cp:lastModifiedBy>Наталья Фидельская</cp:lastModifiedBy>
  <cp:revision>1</cp:revision>
  <dcterms:created xsi:type="dcterms:W3CDTF">2023-11-20T09:05:00Z</dcterms:created>
  <dcterms:modified xsi:type="dcterms:W3CDTF">2023-11-20T09:08:00Z</dcterms:modified>
</cp:coreProperties>
</file>